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1CA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1D251904" w14:textId="77777777" w:rsidTr="005F7F7E">
        <w:tc>
          <w:tcPr>
            <w:tcW w:w="2438" w:type="dxa"/>
            <w:shd w:val="clear" w:color="auto" w:fill="auto"/>
          </w:tcPr>
          <w:p w14:paraId="3324A43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1FBC7D71" w14:textId="1F46009E" w:rsidR="00F445B1" w:rsidRPr="00F95BC9" w:rsidRDefault="00A1179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Finance and Performance Panel</w:t>
            </w:r>
          </w:p>
        </w:tc>
      </w:tr>
      <w:tr w:rsidR="00CE544A" w:rsidRPr="00975B07" w14:paraId="7ED551BB" w14:textId="77777777" w:rsidTr="005F7F7E">
        <w:tc>
          <w:tcPr>
            <w:tcW w:w="2438" w:type="dxa"/>
            <w:shd w:val="clear" w:color="auto" w:fill="auto"/>
          </w:tcPr>
          <w:p w14:paraId="333D7470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57A8B930" w14:textId="08FED53A" w:rsidR="00F445B1" w:rsidRPr="001356F1" w:rsidRDefault="00A1179F" w:rsidP="005D0621">
            <w:pPr>
              <w:rPr>
                <w:b/>
              </w:rPr>
            </w:pPr>
            <w:r>
              <w:rPr>
                <w:rStyle w:val="Firstpagetablebold"/>
              </w:rPr>
              <w:t>18 July 2024</w:t>
            </w:r>
          </w:p>
        </w:tc>
      </w:tr>
      <w:tr w:rsidR="00CE544A" w:rsidRPr="00975B07" w14:paraId="398BD41A" w14:textId="77777777" w:rsidTr="005F7F7E">
        <w:tc>
          <w:tcPr>
            <w:tcW w:w="2438" w:type="dxa"/>
            <w:shd w:val="clear" w:color="auto" w:fill="auto"/>
          </w:tcPr>
          <w:p w14:paraId="58AD7755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11C7D039" w14:textId="6B2108AD" w:rsidR="00F445B1" w:rsidRPr="001356F1" w:rsidRDefault="00A1179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Financial Services</w:t>
            </w:r>
          </w:p>
        </w:tc>
      </w:tr>
      <w:tr w:rsidR="00CE544A" w:rsidRPr="00975B07" w14:paraId="5846BA89" w14:textId="77777777" w:rsidTr="005F7F7E">
        <w:tc>
          <w:tcPr>
            <w:tcW w:w="2438" w:type="dxa"/>
            <w:shd w:val="clear" w:color="auto" w:fill="auto"/>
          </w:tcPr>
          <w:p w14:paraId="4454C888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039DD024" w14:textId="7B6C02DE" w:rsidR="00F445B1" w:rsidRPr="001356F1" w:rsidRDefault="00A1179F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Comparative Analysis – Capital Slippage</w:t>
            </w:r>
          </w:p>
        </w:tc>
      </w:tr>
    </w:tbl>
    <w:p w14:paraId="2C6F0239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6FD2A709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39B50020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50E9E321" w14:textId="77777777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7F5EF52F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78F10215" w14:textId="77777777" w:rsidR="00D5547E" w:rsidRPr="001356F1" w:rsidRDefault="00D5547E" w:rsidP="00821AAF">
            <w:r w:rsidRPr="001356F1">
              <w:t>B</w:t>
            </w:r>
            <w:r w:rsidR="008B293F" w:rsidRPr="001356F1">
              <w:t xml:space="preserve">rief: </w:t>
            </w:r>
            <w:r w:rsidRPr="001356F1">
              <w:t xml:space="preserve">clearly and precisely </w:t>
            </w:r>
            <w:r w:rsidR="008B293F" w:rsidRPr="001356F1">
              <w:t>setting out what</w:t>
            </w:r>
            <w:r w:rsidRPr="001356F1">
              <w:t xml:space="preserve"> the </w:t>
            </w:r>
            <w:r w:rsidR="00821AAF">
              <w:t>Committee</w:t>
            </w:r>
            <w:r w:rsidRPr="001356F1">
              <w:t xml:space="preserve"> </w:t>
            </w:r>
            <w:r w:rsidR="008B293F" w:rsidRPr="001356F1">
              <w:t xml:space="preserve">is </w:t>
            </w:r>
            <w:r w:rsidRPr="001356F1">
              <w:t>to approve and why.</w:t>
            </w:r>
          </w:p>
        </w:tc>
      </w:tr>
      <w:tr w:rsidR="00D5547E" w14:paraId="19903593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37BB3A70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4BD9F2D" w14:textId="3C05814C" w:rsidR="00D5547E" w:rsidRPr="001356F1" w:rsidRDefault="00A1179F" w:rsidP="005F7F7E">
            <w:r>
              <w:t>No</w:t>
            </w:r>
          </w:p>
        </w:tc>
      </w:tr>
      <w:tr w:rsidR="00D5547E" w14:paraId="0E273DC1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C641308" w14:textId="77777777" w:rsidR="00D5547E" w:rsidRDefault="00F913E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</w:t>
            </w:r>
            <w:r w:rsidR="00A44635">
              <w:rPr>
                <w:rStyle w:val="Firstpagetablebold"/>
              </w:rPr>
              <w:t xml:space="preserve"> with responsibility</w:t>
            </w:r>
            <w:r w:rsidR="00D5547E">
              <w:rPr>
                <w:rStyle w:val="Firstpagetablebold"/>
              </w:rPr>
              <w:t>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63AF073" w14:textId="72E4B89F" w:rsidR="00D5547E" w:rsidRPr="001356F1" w:rsidRDefault="00D5547E" w:rsidP="005F7F7E">
            <w:r w:rsidRPr="001356F1">
              <w:t xml:space="preserve">Councillor </w:t>
            </w:r>
            <w:r w:rsidR="00A1179F">
              <w:t>Ed Turner</w:t>
            </w:r>
            <w:r w:rsidRPr="001356F1">
              <w:t xml:space="preserve">, </w:t>
            </w:r>
            <w:r w:rsidR="00A1179F">
              <w:t>Deputy Leader (Statutory) and Cabinet Member for Finance and Asset Management</w:t>
            </w:r>
          </w:p>
        </w:tc>
      </w:tr>
      <w:tr w:rsidR="0080749A" w14:paraId="3A422265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278BDA7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D106D69" w14:textId="2126880E" w:rsidR="0080749A" w:rsidRPr="001356F1" w:rsidRDefault="00A1179F" w:rsidP="005F7F7E">
            <w:r>
              <w:t>All</w:t>
            </w:r>
          </w:p>
        </w:tc>
      </w:tr>
      <w:tr w:rsidR="00D5547E" w14:paraId="0DCC6476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162E60F3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49FF1B" w14:textId="45D11D86" w:rsidR="00D5547E" w:rsidRPr="001356F1" w:rsidRDefault="00A1179F" w:rsidP="005F7F7E">
            <w:r>
              <w:t>Council Strategy 2020-24</w:t>
            </w:r>
          </w:p>
        </w:tc>
      </w:tr>
      <w:tr w:rsidR="005F7F7E" w:rsidRPr="00975B07" w14:paraId="4F4E9C05" w14:textId="77777777" w:rsidTr="00A1179F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7536B870" w14:textId="77777777" w:rsidR="005F7F7E" w:rsidRPr="00975B07" w:rsidRDefault="005F7F7E" w:rsidP="00821AAF">
            <w:r>
              <w:rPr>
                <w:rStyle w:val="Firstpagetablebold"/>
              </w:rPr>
              <w:t xml:space="preserve">Recommendation(s):That the </w:t>
            </w:r>
            <w:r w:rsidR="00821AAF">
              <w:rPr>
                <w:rStyle w:val="Firstpagetablebold"/>
              </w:rPr>
              <w:t>Committee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14:paraId="2280F6A8" w14:textId="77777777" w:rsidTr="00A1179F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15C4450F" w14:textId="77777777"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9A10BD" w14:textId="382D8F2B" w:rsidR="0030208D" w:rsidRPr="001356F1" w:rsidRDefault="00A1179F" w:rsidP="002069B3">
            <w:r>
              <w:rPr>
                <w:rStyle w:val="Firstpagetablebold"/>
              </w:rPr>
              <w:t xml:space="preserve">Note and comment </w:t>
            </w:r>
            <w:r>
              <w:rPr>
                <w:rStyle w:val="Firstpagetablebold"/>
                <w:b w:val="0"/>
                <w:bCs/>
              </w:rPr>
              <w:t xml:space="preserve">on the report and </w:t>
            </w:r>
            <w:r w:rsidRPr="00A1179F">
              <w:rPr>
                <w:rStyle w:val="Firstpagetablebold"/>
              </w:rPr>
              <w:t>agree</w:t>
            </w:r>
            <w:r>
              <w:rPr>
                <w:rStyle w:val="Firstpagetablebold"/>
                <w:b w:val="0"/>
                <w:bCs/>
              </w:rPr>
              <w:t xml:space="preserve"> any recommendations.</w:t>
            </w:r>
            <w:r w:rsidR="0030208D" w:rsidRPr="001356F1">
              <w:t xml:space="preserve"> </w:t>
            </w:r>
          </w:p>
        </w:tc>
      </w:tr>
    </w:tbl>
    <w:p w14:paraId="0BFD022A" w14:textId="77777777"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14:paraId="74935996" w14:textId="77777777" w:rsidTr="00A1179F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8B6A4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14:paraId="3DF215B9" w14:textId="77777777" w:rsidTr="00A1179F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3E0CF8B" w14:textId="77777777"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7286F1AB" w14:textId="2014232D" w:rsidR="00ED5860" w:rsidRPr="001356F1" w:rsidRDefault="00A1179F" w:rsidP="004A6D2F">
            <w:r>
              <w:t>Capital Programme Slippage over the last 4 years</w:t>
            </w:r>
          </w:p>
        </w:tc>
      </w:tr>
    </w:tbl>
    <w:p w14:paraId="281725F2" w14:textId="77777777"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14:paraId="0C196E0B" w14:textId="62542D3E" w:rsidR="00A1179F" w:rsidRDefault="00A1179F" w:rsidP="00A1179F">
      <w:pPr>
        <w:pStyle w:val="ListParagraph"/>
        <w:numPr>
          <w:ilvl w:val="0"/>
          <w:numId w:val="34"/>
        </w:numPr>
        <w:jc w:val="both"/>
      </w:pPr>
      <w:r>
        <w:t xml:space="preserve">The Council’s capital programme has been significantly underspent over the last few years against the original budget approved by </w:t>
      </w:r>
      <w:r>
        <w:t>M</w:t>
      </w:r>
      <w:r>
        <w:t>embers at February Council. Schemes are invariably slipped to the following year which invariably compounds the issue by increasing the capital programme for that year.</w:t>
      </w:r>
    </w:p>
    <w:p w14:paraId="469F5B9C" w14:textId="57A2F147" w:rsidR="00A1179F" w:rsidRDefault="00A1179F" w:rsidP="00A1179F">
      <w:pPr>
        <w:pStyle w:val="ListParagraph"/>
        <w:numPr>
          <w:ilvl w:val="0"/>
          <w:numId w:val="34"/>
        </w:numPr>
        <w:jc w:val="both"/>
      </w:pPr>
      <w:r>
        <w:t>During the preparation of the Medium Term Financial Plan for the following 4 year period commencing 1-4-2024 a ‘40% optimism bias’ was allowed for in the budget. This is a recognised adjustment to allow for the over optimism of a project management when planning and setting the budget for a capital project. The agreed budget is shown</w:t>
      </w:r>
      <w:r w:rsidR="00097C13">
        <w:t xml:space="preserve"> in the table</w:t>
      </w:r>
      <w:r>
        <w:t xml:space="preserve"> below:</w:t>
      </w:r>
    </w:p>
    <w:p w14:paraId="70A672F5" w14:textId="77777777" w:rsidR="00A1179F" w:rsidRDefault="00A1179F" w:rsidP="00A1179F">
      <w:pPr>
        <w:jc w:val="both"/>
      </w:pPr>
    </w:p>
    <w:p w14:paraId="6A111103" w14:textId="2BC69D72" w:rsidR="00A1179F" w:rsidRDefault="00A1179F" w:rsidP="00A1179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92F3D4" wp14:editId="378F349A">
            <wp:simplePos x="831273" y="831273"/>
            <wp:positionH relativeFrom="margin">
              <wp:align>center</wp:align>
            </wp:positionH>
            <wp:positionV relativeFrom="margin">
              <wp:align>top</wp:align>
            </wp:positionV>
            <wp:extent cx="6814326" cy="2481943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326" cy="248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59B49" w14:textId="10497849" w:rsidR="00633578" w:rsidRPr="001356F1" w:rsidRDefault="00A1179F" w:rsidP="00E87F7A">
      <w:pPr>
        <w:pStyle w:val="Heading1"/>
      </w:pPr>
      <w:r>
        <w:t>Update</w:t>
      </w:r>
    </w:p>
    <w:p w14:paraId="13E9837D" w14:textId="781896E8" w:rsidR="00A1179F" w:rsidRDefault="00A1179F" w:rsidP="00097C13">
      <w:pPr>
        <w:pStyle w:val="ListParagraph"/>
        <w:numPr>
          <w:ilvl w:val="0"/>
          <w:numId w:val="34"/>
        </w:numPr>
        <w:jc w:val="both"/>
      </w:pPr>
      <w:r>
        <w:rPr>
          <w:b/>
          <w:bCs/>
        </w:rPr>
        <w:t>Appendix 1</w:t>
      </w:r>
      <w:r>
        <w:t xml:space="preserve"> shows the slippages on the </w:t>
      </w:r>
      <w:r>
        <w:t>C</w:t>
      </w:r>
      <w:r>
        <w:t xml:space="preserve">apital </w:t>
      </w:r>
      <w:r>
        <w:t>P</w:t>
      </w:r>
      <w:r>
        <w:t xml:space="preserve">rogramme over the last 4 years. </w:t>
      </w:r>
    </w:p>
    <w:p w14:paraId="00661FAA" w14:textId="6738D526" w:rsidR="00A1179F" w:rsidRDefault="00A1179F" w:rsidP="00097C13">
      <w:pPr>
        <w:pStyle w:val="ListParagraph"/>
        <w:numPr>
          <w:ilvl w:val="0"/>
          <w:numId w:val="34"/>
        </w:numPr>
        <w:jc w:val="both"/>
      </w:pPr>
      <w:r>
        <w:t>It would be easy to assume that slippages are caused by poor programme management, lack of planning etc</w:t>
      </w:r>
      <w:r w:rsidR="00097C13">
        <w:t>.,</w:t>
      </w:r>
      <w:r>
        <w:t xml:space="preserve"> but professional opinion would be more nuanced than this in the sense that many slippages on schemes are not all within our control.  </w:t>
      </w:r>
    </w:p>
    <w:p w14:paraId="68D97AA5" w14:textId="13726E23" w:rsidR="00A1179F" w:rsidRDefault="00A1179F" w:rsidP="00097C13">
      <w:pPr>
        <w:pStyle w:val="ListParagraph"/>
        <w:numPr>
          <w:ilvl w:val="0"/>
          <w:numId w:val="34"/>
        </w:numPr>
        <w:jc w:val="both"/>
      </w:pPr>
      <w:r>
        <w:t>Salient points from this paper include:</w:t>
      </w:r>
    </w:p>
    <w:p w14:paraId="0002DE6C" w14:textId="1EF99561" w:rsidR="00A1179F" w:rsidRDefault="00A1179F" w:rsidP="00097C13">
      <w:pPr>
        <w:pStyle w:val="ListParagraph"/>
        <w:numPr>
          <w:ilvl w:val="0"/>
          <w:numId w:val="36"/>
        </w:numPr>
        <w:tabs>
          <w:tab w:val="clear" w:pos="426"/>
        </w:tabs>
        <w:spacing w:after="160" w:line="259" w:lineRule="auto"/>
        <w:contextualSpacing/>
        <w:jc w:val="both"/>
      </w:pPr>
      <w:r>
        <w:t xml:space="preserve">Slippages of the original capital budget plus prior year slippage over the </w:t>
      </w:r>
      <w:r w:rsidR="00097C13">
        <w:t>4-year</w:t>
      </w:r>
      <w:r>
        <w:t xml:space="preserve"> period range between 52% and 76%. Specific schemes slipped in 2023-24 previously reported in monitoring include:</w:t>
      </w:r>
    </w:p>
    <w:p w14:paraId="091B7874" w14:textId="194761B1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East Oxford Community Centre </w:t>
      </w:r>
      <w:r w:rsidR="00097C13">
        <w:t>(</w:t>
      </w:r>
      <w:r>
        <w:t>£3.4m</w:t>
      </w:r>
      <w:r w:rsidR="00097C13">
        <w:t>)</w:t>
      </w:r>
    </w:p>
    <w:p w14:paraId="7DE8BBDA" w14:textId="7DD721F8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Covered </w:t>
      </w:r>
      <w:r w:rsidR="00097C13">
        <w:t>M</w:t>
      </w:r>
      <w:r>
        <w:t xml:space="preserve">arket </w:t>
      </w:r>
      <w:r w:rsidR="00097C13">
        <w:t>(</w:t>
      </w:r>
      <w:r>
        <w:t>£2.2</w:t>
      </w:r>
      <w:r w:rsidR="00097C13">
        <w:t>m)</w:t>
      </w:r>
      <w:r>
        <w:t xml:space="preserve"> – delays from complexity of wider asset condition survey outside of masterplan project</w:t>
      </w:r>
      <w:r w:rsidR="00097C13">
        <w:t>.</w:t>
      </w:r>
    </w:p>
    <w:p w14:paraId="647B8D55" w14:textId="7E4D322E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Oxford </w:t>
      </w:r>
      <w:r w:rsidR="00097C13">
        <w:t>F</w:t>
      </w:r>
      <w:r>
        <w:t xml:space="preserve">lood </w:t>
      </w:r>
      <w:r w:rsidR="00097C13">
        <w:t>A</w:t>
      </w:r>
      <w:r>
        <w:t xml:space="preserve">lleviation </w:t>
      </w:r>
      <w:r w:rsidR="00097C13">
        <w:t>(</w:t>
      </w:r>
      <w:r>
        <w:t>£4.35</w:t>
      </w:r>
      <w:r w:rsidR="00097C13">
        <w:t>m)</w:t>
      </w:r>
      <w:r>
        <w:t xml:space="preserve"> – delay in processing funding agreement</w:t>
      </w:r>
      <w:r w:rsidR="00097C13">
        <w:t>.</w:t>
      </w:r>
    </w:p>
    <w:p w14:paraId="72E9CF6A" w14:textId="5ECF95D2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Osney Bridge </w:t>
      </w:r>
      <w:r w:rsidR="00097C13">
        <w:t>(</w:t>
      </w:r>
      <w:r>
        <w:t>£4m</w:t>
      </w:r>
      <w:r w:rsidR="00097C13">
        <w:t>)</w:t>
      </w:r>
      <w:r>
        <w:t xml:space="preserve"> – objections from Environment </w:t>
      </w:r>
      <w:r w:rsidR="00097C13">
        <w:t>A</w:t>
      </w:r>
      <w:r>
        <w:t>gency and planning approval</w:t>
      </w:r>
      <w:r w:rsidR="00097C13">
        <w:t>.</w:t>
      </w:r>
    </w:p>
    <w:p w14:paraId="0EC71809" w14:textId="3349A43E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>Cowley Branch</w:t>
      </w:r>
      <w:r w:rsidR="00097C13">
        <w:t xml:space="preserve"> L</w:t>
      </w:r>
      <w:r>
        <w:t xml:space="preserve">ine </w:t>
      </w:r>
      <w:r w:rsidR="00097C13">
        <w:t>(</w:t>
      </w:r>
      <w:r>
        <w:t>£1.7m</w:t>
      </w:r>
      <w:r w:rsidR="00097C13">
        <w:t>)</w:t>
      </w:r>
    </w:p>
    <w:p w14:paraId="06F1D4EF" w14:textId="1E081C5F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Blackbird Leys Community Centre </w:t>
      </w:r>
      <w:r w:rsidR="00097C13">
        <w:t>(</w:t>
      </w:r>
      <w:r>
        <w:t>£8.4m</w:t>
      </w:r>
      <w:r w:rsidR="00097C13">
        <w:t>)</w:t>
      </w:r>
      <w:r>
        <w:t xml:space="preserve"> – financial viability has been a challenge due to increasing costs</w:t>
      </w:r>
      <w:r w:rsidR="00097C13">
        <w:t>.</w:t>
      </w:r>
      <w:r>
        <w:t xml:space="preserve"> </w:t>
      </w:r>
    </w:p>
    <w:p w14:paraId="06828921" w14:textId="2CD76735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Northern Gateway – Oxford North </w:t>
      </w:r>
      <w:r w:rsidR="00097C13">
        <w:t>(</w:t>
      </w:r>
      <w:r>
        <w:t>£10</w:t>
      </w:r>
      <w:r w:rsidR="00097C13">
        <w:t>m)</w:t>
      </w:r>
      <w:r>
        <w:t xml:space="preserve"> – </w:t>
      </w:r>
      <w:r w:rsidR="00097C13">
        <w:t>n</w:t>
      </w:r>
      <w:r>
        <w:t>ot been possible to agree drawdown of funds and spend of HIF grant</w:t>
      </w:r>
      <w:r w:rsidR="00097C13">
        <w:t>.</w:t>
      </w:r>
    </w:p>
    <w:p w14:paraId="58D36239" w14:textId="6FDE75BC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Affordable Housing Supply </w:t>
      </w:r>
      <w:r w:rsidR="00097C13">
        <w:t>(</w:t>
      </w:r>
      <w:r>
        <w:t>£1m</w:t>
      </w:r>
      <w:r w:rsidR="00097C13">
        <w:t>)</w:t>
      </w:r>
    </w:p>
    <w:p w14:paraId="406BF721" w14:textId="2EC4AE60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>Loans To Ox</w:t>
      </w:r>
      <w:r w:rsidR="00097C13">
        <w:t>WED</w:t>
      </w:r>
      <w:r>
        <w:t xml:space="preserve"> </w:t>
      </w:r>
      <w:r w:rsidR="00097C13">
        <w:t>(</w:t>
      </w:r>
      <w:r>
        <w:t>£1.1m</w:t>
      </w:r>
      <w:r w:rsidR="00097C13">
        <w:t>)</w:t>
      </w:r>
      <w:r>
        <w:t xml:space="preserve"> – delay in obtaining planning approvals</w:t>
      </w:r>
      <w:r w:rsidR="00097C13">
        <w:t>.</w:t>
      </w:r>
    </w:p>
    <w:p w14:paraId="47424140" w14:textId="035D09B2" w:rsidR="00A1179F" w:rsidRDefault="00A1179F" w:rsidP="00097C13">
      <w:pPr>
        <w:pStyle w:val="ListParagraph"/>
        <w:numPr>
          <w:ilvl w:val="1"/>
          <w:numId w:val="36"/>
        </w:numPr>
        <w:spacing w:after="160" w:line="259" w:lineRule="auto"/>
        <w:contextualSpacing/>
        <w:jc w:val="both"/>
      </w:pPr>
      <w:r>
        <w:t xml:space="preserve">Motor Vehicles </w:t>
      </w:r>
      <w:r w:rsidR="00097C13">
        <w:t>(</w:t>
      </w:r>
      <w:r>
        <w:t>£3.6m</w:t>
      </w:r>
      <w:r w:rsidR="00097C13">
        <w:t>)</w:t>
      </w:r>
      <w:r>
        <w:t xml:space="preserve"> – delays in processing orders for vehicles due to evaluation of EV requirement</w:t>
      </w:r>
      <w:r w:rsidR="00097C13">
        <w:t>.</w:t>
      </w:r>
    </w:p>
    <w:p w14:paraId="78BBE330" w14:textId="7A61E7C9" w:rsidR="00A1179F" w:rsidRDefault="00A1179F" w:rsidP="00097C13">
      <w:pPr>
        <w:pStyle w:val="ListParagraph"/>
        <w:numPr>
          <w:ilvl w:val="0"/>
          <w:numId w:val="36"/>
        </w:numPr>
        <w:tabs>
          <w:tab w:val="clear" w:pos="426"/>
        </w:tabs>
        <w:spacing w:after="160" w:line="259" w:lineRule="auto"/>
        <w:contextualSpacing/>
        <w:jc w:val="both"/>
      </w:pPr>
      <w:r>
        <w:t xml:space="preserve">Slippages on </w:t>
      </w:r>
      <w:r w:rsidR="00097C13">
        <w:t>G</w:t>
      </w:r>
      <w:r>
        <w:t xml:space="preserve">eneral </w:t>
      </w:r>
      <w:r w:rsidR="00097C13">
        <w:t>F</w:t>
      </w:r>
      <w:r>
        <w:t xml:space="preserve">und activity </w:t>
      </w:r>
      <w:r w:rsidR="00097C13">
        <w:t>(</w:t>
      </w:r>
      <w:r>
        <w:t xml:space="preserve">excluding activities linked to </w:t>
      </w:r>
      <w:r w:rsidR="00097C13">
        <w:t>OX Place)</w:t>
      </w:r>
      <w:r>
        <w:t xml:space="preserve"> range from 49% to 79%</w:t>
      </w:r>
      <w:r w:rsidR="00097C13">
        <w:t>.</w:t>
      </w:r>
    </w:p>
    <w:p w14:paraId="633CE149" w14:textId="0C04814E" w:rsidR="00A1179F" w:rsidRDefault="00A1179F" w:rsidP="00097C13">
      <w:pPr>
        <w:pStyle w:val="ListParagraph"/>
        <w:numPr>
          <w:ilvl w:val="0"/>
          <w:numId w:val="36"/>
        </w:numPr>
        <w:tabs>
          <w:tab w:val="clear" w:pos="426"/>
        </w:tabs>
        <w:spacing w:after="160" w:line="259" w:lineRule="auto"/>
        <w:contextualSpacing/>
        <w:jc w:val="both"/>
      </w:pPr>
      <w:r>
        <w:t xml:space="preserve">Slippages on </w:t>
      </w:r>
      <w:r w:rsidR="00097C13">
        <w:t>G</w:t>
      </w:r>
      <w:r>
        <w:t xml:space="preserve">eneral </w:t>
      </w:r>
      <w:r w:rsidR="00097C13">
        <w:t>F</w:t>
      </w:r>
      <w:r>
        <w:t xml:space="preserve">und activity linked to loans to </w:t>
      </w:r>
      <w:r w:rsidR="00097C13">
        <w:t>OX Place</w:t>
      </w:r>
      <w:r>
        <w:t xml:space="preserve"> run at 100%. Loans to OX</w:t>
      </w:r>
      <w:r w:rsidR="00097C13">
        <w:t xml:space="preserve"> P</w:t>
      </w:r>
      <w:r>
        <w:t xml:space="preserve">lace are linked to the cashflow activities of the </w:t>
      </w:r>
      <w:r w:rsidR="00097C13">
        <w:t>c</w:t>
      </w:r>
      <w:r>
        <w:t xml:space="preserve">ompany to meet its financial commitments to meet its development and acquisition </w:t>
      </w:r>
      <w:r>
        <w:lastRenderedPageBreak/>
        <w:t>programme. The Council has struggled in prior years to obtain accurate forecasts of company cashflows</w:t>
      </w:r>
      <w:r w:rsidR="00097C13">
        <w:t>,</w:t>
      </w:r>
      <w:r>
        <w:t xml:space="preserve"> although improvement is expected going forward with quarterly business plan updates having been agreed with the company</w:t>
      </w:r>
      <w:r w:rsidR="00097C13">
        <w:t>.</w:t>
      </w:r>
    </w:p>
    <w:p w14:paraId="4775ABD4" w14:textId="6F2EDE1D" w:rsidR="00A1179F" w:rsidRDefault="00A1179F" w:rsidP="00097C13">
      <w:pPr>
        <w:pStyle w:val="ListParagraph"/>
        <w:numPr>
          <w:ilvl w:val="0"/>
          <w:numId w:val="36"/>
        </w:numPr>
        <w:tabs>
          <w:tab w:val="clear" w:pos="426"/>
        </w:tabs>
        <w:spacing w:after="160" w:line="259" w:lineRule="auto"/>
        <w:contextualSpacing/>
        <w:jc w:val="both"/>
      </w:pPr>
      <w:r>
        <w:t xml:space="preserve">Slippage on HRA schemes </w:t>
      </w:r>
      <w:r w:rsidR="00097C13">
        <w:t>(</w:t>
      </w:r>
      <w:r>
        <w:t>excluding acquisition of houses from O</w:t>
      </w:r>
      <w:r w:rsidR="00097C13">
        <w:t>X P</w:t>
      </w:r>
      <w:r>
        <w:t>lace</w:t>
      </w:r>
      <w:r w:rsidR="00097C13">
        <w:t>)</w:t>
      </w:r>
      <w:r>
        <w:t xml:space="preserve"> ranges between 6% and 88%. This is directly linked to the </w:t>
      </w:r>
      <w:r w:rsidR="00097C13">
        <w:t>OX Place</w:t>
      </w:r>
      <w:r>
        <w:t xml:space="preserve"> programme and shows an increasing slippage as the year progresses. Slippage in the company programme may impact on dividend returns to the Council. </w:t>
      </w:r>
    </w:p>
    <w:p w14:paraId="3B5D41FD" w14:textId="77777777" w:rsidR="00A1179F" w:rsidRDefault="00A1179F" w:rsidP="00A1179F">
      <w:pPr>
        <w:pStyle w:val="ListParagraph"/>
        <w:numPr>
          <w:ilvl w:val="0"/>
          <w:numId w:val="0"/>
        </w:numPr>
        <w:spacing w:after="160" w:line="259" w:lineRule="auto"/>
        <w:ind w:left="1080"/>
        <w:contextualSpacing/>
      </w:pPr>
    </w:p>
    <w:p w14:paraId="2C70330E" w14:textId="79DDDCF9" w:rsidR="00A1179F" w:rsidRDefault="00A1179F" w:rsidP="00097C13">
      <w:pPr>
        <w:pStyle w:val="ListParagraph"/>
        <w:numPr>
          <w:ilvl w:val="0"/>
          <w:numId w:val="34"/>
        </w:numPr>
        <w:jc w:val="both"/>
      </w:pPr>
      <w:r>
        <w:t xml:space="preserve">In conclusion, there will always be delays in development programmes whether this is with those projects in direct delivery by the </w:t>
      </w:r>
      <w:r w:rsidR="00097C13">
        <w:t>C</w:t>
      </w:r>
      <w:r>
        <w:t>ouncil or indirectly through the OX</w:t>
      </w:r>
      <w:r w:rsidR="00097C13">
        <w:t xml:space="preserve"> P</w:t>
      </w:r>
      <w:r>
        <w:t>lace development programme, even though officers try to mitigate this. The Council has, perhaps optimistically</w:t>
      </w:r>
      <w:r w:rsidR="00097C13">
        <w:t>,</w:t>
      </w:r>
      <w:r>
        <w:t xml:space="preserve"> put a 40% optimism bias in the 4 year programme when it set its budget in February 2024. This was on the expectation that there may be an improvement in the amount of slippage</w:t>
      </w:r>
      <w:r w:rsidR="00097C13">
        <w:t>;</w:t>
      </w:r>
      <w:r>
        <w:t xml:space="preserve"> although whether this happens remains to be seen. </w:t>
      </w:r>
    </w:p>
    <w:p w14:paraId="7C218174" w14:textId="77777777" w:rsidR="00A1179F" w:rsidRDefault="00A1179F" w:rsidP="00A1179F">
      <w:pPr>
        <w:pStyle w:val="ListParagraph"/>
        <w:numPr>
          <w:ilvl w:val="0"/>
          <w:numId w:val="0"/>
        </w:numPr>
        <w:ind w:left="36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51E5C361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8C270EF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35737" w14:textId="52F0F731" w:rsidR="00E87F7A" w:rsidRPr="001356F1" w:rsidRDefault="00A1179F" w:rsidP="00A46E98">
            <w:r>
              <w:t>Nigel Kennedy</w:t>
            </w:r>
          </w:p>
        </w:tc>
      </w:tr>
      <w:tr w:rsidR="00DF093E" w:rsidRPr="001356F1" w14:paraId="775506A9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6853760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FAA6797" w14:textId="5ED7AB8D" w:rsidR="00E87F7A" w:rsidRPr="001356F1" w:rsidRDefault="00A1179F" w:rsidP="00A46E98">
            <w:r>
              <w:t>Head of Financial Services</w:t>
            </w:r>
          </w:p>
        </w:tc>
      </w:tr>
      <w:tr w:rsidR="00DF093E" w:rsidRPr="001356F1" w14:paraId="4171EB0E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3ED7683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7E82F79" w14:textId="6B41EC42" w:rsidR="00E87F7A" w:rsidRPr="001356F1" w:rsidRDefault="00A1179F" w:rsidP="00A46E98">
            <w:r>
              <w:t>Financial Services</w:t>
            </w:r>
          </w:p>
        </w:tc>
      </w:tr>
      <w:tr w:rsidR="00DF093E" w:rsidRPr="001356F1" w14:paraId="55E974DD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A535778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4F7932" w14:textId="4549717F" w:rsidR="00E87F7A" w:rsidRPr="001356F1" w:rsidRDefault="00E87F7A" w:rsidP="00A46E98">
            <w:r w:rsidRPr="001356F1">
              <w:t xml:space="preserve">01865 </w:t>
            </w:r>
            <w:r w:rsidR="00A1179F">
              <w:t>252708</w:t>
            </w:r>
            <w:r w:rsidRPr="001356F1">
              <w:t xml:space="preserve">  </w:t>
            </w:r>
          </w:p>
        </w:tc>
      </w:tr>
      <w:tr w:rsidR="005570B5" w:rsidRPr="001356F1" w14:paraId="14949A89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8352C4E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1AD5D" w14:textId="29C90DCF" w:rsidR="00E87F7A" w:rsidRPr="001356F1" w:rsidRDefault="00A1179F" w:rsidP="00A46E98">
            <w:pPr>
              <w:rPr>
                <w:rStyle w:val="Hyperlink"/>
                <w:color w:val="000000"/>
              </w:rPr>
            </w:pPr>
            <w:hyperlink r:id="rId12" w:history="1">
              <w:r w:rsidRPr="00FB2158">
                <w:rPr>
                  <w:rStyle w:val="Hyperlink"/>
                </w:rPr>
                <w:t>nkennedy@oxford.gov.uk</w:t>
              </w:r>
            </w:hyperlink>
            <w:r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23F933C4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01CF92D5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A43B04F" w14:textId="77777777"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14:paraId="71D5F0F6" w14:textId="77777777" w:rsidR="00CE4C87" w:rsidRDefault="00CE4C87" w:rsidP="0093067A"/>
    <w:p w14:paraId="156DD895" w14:textId="77777777" w:rsidR="00821AAF" w:rsidRPr="009E51FC" w:rsidRDefault="00821AAF" w:rsidP="0093067A"/>
    <w:sectPr w:rsidR="00821AAF" w:rsidRPr="009E51FC" w:rsidSect="00B558E1">
      <w:footerReference w:type="even" r:id="rId13"/>
      <w:headerReference w:type="first" r:id="rId14"/>
      <w:footerReference w:type="first" r:id="rId15"/>
      <w:pgSz w:w="11906" w:h="16838" w:code="9"/>
      <w:pgMar w:top="1304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476B" w14:textId="77777777" w:rsidR="00FA026E" w:rsidRDefault="00FA026E" w:rsidP="004A6D2F">
      <w:r>
        <w:separator/>
      </w:r>
    </w:p>
  </w:endnote>
  <w:endnote w:type="continuationSeparator" w:id="0">
    <w:p w14:paraId="281A4075" w14:textId="77777777" w:rsidR="00FA026E" w:rsidRDefault="00FA026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4B8D" w14:textId="77777777" w:rsidR="00364FAD" w:rsidRDefault="00364FAD" w:rsidP="004A6D2F">
    <w:pPr>
      <w:pStyle w:val="Footer"/>
    </w:pPr>
    <w:r>
      <w:t>Do not use a footer or page numbers.</w:t>
    </w:r>
  </w:p>
  <w:p w14:paraId="35A11B6B" w14:textId="77777777" w:rsidR="00364FAD" w:rsidRDefault="00364FAD" w:rsidP="004A6D2F">
    <w:pPr>
      <w:pStyle w:val="Footer"/>
    </w:pPr>
  </w:p>
  <w:p w14:paraId="00A59E62" w14:textId="77777777"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1D0A" w14:textId="77777777"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885F" w14:textId="77777777" w:rsidR="00FA026E" w:rsidRDefault="00FA026E" w:rsidP="004A6D2F">
      <w:r>
        <w:separator/>
      </w:r>
    </w:p>
  </w:footnote>
  <w:footnote w:type="continuationSeparator" w:id="0">
    <w:p w14:paraId="5EAB91C7" w14:textId="77777777" w:rsidR="00FA026E" w:rsidRDefault="00FA026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BAFC" w14:textId="77777777" w:rsidR="00D5547E" w:rsidRDefault="00DD2FED" w:rsidP="00D5547E">
    <w:pPr>
      <w:pStyle w:val="Header"/>
      <w:jc w:val="right"/>
    </w:pPr>
    <w:r>
      <w:rPr>
        <w:noProof/>
      </w:rPr>
      <w:drawing>
        <wp:inline distT="0" distB="0" distL="0" distR="0" wp14:anchorId="67F50B84" wp14:editId="3EC7C249">
          <wp:extent cx="843280" cy="1117600"/>
          <wp:effectExtent l="0" t="0" r="0" b="6350"/>
          <wp:docPr id="1" name="Picture 1" descr="Oxford City Council Logo" title="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13C19"/>
    <w:multiLevelType w:val="hybridMultilevel"/>
    <w:tmpl w:val="EECA6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7450C"/>
    <w:multiLevelType w:val="hybridMultilevel"/>
    <w:tmpl w:val="5A4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71BE9"/>
    <w:multiLevelType w:val="hybridMultilevel"/>
    <w:tmpl w:val="0B1CAE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63A6A"/>
    <w:multiLevelType w:val="multilevel"/>
    <w:tmpl w:val="43D6D2FA"/>
    <w:numStyleLink w:val="StyleBulletedSymbolsymbolLeft063cmHanging063cm"/>
  </w:abstractNum>
  <w:abstractNum w:abstractNumId="21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9421F"/>
    <w:multiLevelType w:val="hybridMultilevel"/>
    <w:tmpl w:val="91A25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A5FD8"/>
    <w:multiLevelType w:val="multilevel"/>
    <w:tmpl w:val="43D6D2FA"/>
    <w:numStyleLink w:val="StyleBulletedSymbolsymbolLeft063cmHanging063cm"/>
  </w:abstractNum>
  <w:abstractNum w:abstractNumId="31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22831"/>
    <w:multiLevelType w:val="multilevel"/>
    <w:tmpl w:val="43D6D2FA"/>
    <w:numStyleLink w:val="StyleBulletedSymbolsymbolLeft063cmHanging063cm"/>
  </w:abstractNum>
  <w:abstractNum w:abstractNumId="33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365C6"/>
    <w:multiLevelType w:val="multilevel"/>
    <w:tmpl w:val="E67CE66C"/>
    <w:numStyleLink w:val="StyleNumberedLeft0cmHanging075cm"/>
  </w:abstractNum>
  <w:abstractNum w:abstractNumId="37" w15:restartNumberingAfterBreak="0">
    <w:nsid w:val="7CC02506"/>
    <w:multiLevelType w:val="hybridMultilevel"/>
    <w:tmpl w:val="954AB4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085689">
    <w:abstractNumId w:val="29"/>
  </w:num>
  <w:num w:numId="2" w16cid:durableId="1158306658">
    <w:abstractNumId w:val="34"/>
  </w:num>
  <w:num w:numId="3" w16cid:durableId="861482129">
    <w:abstractNumId w:val="26"/>
  </w:num>
  <w:num w:numId="4" w16cid:durableId="537012141">
    <w:abstractNumId w:val="21"/>
  </w:num>
  <w:num w:numId="5" w16cid:durableId="1173449043">
    <w:abstractNumId w:val="31"/>
  </w:num>
  <w:num w:numId="6" w16cid:durableId="1065683109">
    <w:abstractNumId w:val="35"/>
  </w:num>
  <w:num w:numId="7" w16cid:durableId="2051419739">
    <w:abstractNumId w:val="25"/>
  </w:num>
  <w:num w:numId="8" w16cid:durableId="694960406">
    <w:abstractNumId w:val="23"/>
  </w:num>
  <w:num w:numId="9" w16cid:durableId="42098590">
    <w:abstractNumId w:val="13"/>
  </w:num>
  <w:num w:numId="10" w16cid:durableId="1207328890">
    <w:abstractNumId w:val="16"/>
  </w:num>
  <w:num w:numId="11" w16cid:durableId="2141142148">
    <w:abstractNumId w:val="28"/>
  </w:num>
  <w:num w:numId="12" w16cid:durableId="576520709">
    <w:abstractNumId w:val="27"/>
  </w:num>
  <w:num w:numId="13" w16cid:durableId="1766002076">
    <w:abstractNumId w:val="10"/>
  </w:num>
  <w:num w:numId="14" w16cid:durableId="1449664459">
    <w:abstractNumId w:val="36"/>
  </w:num>
  <w:num w:numId="15" w16cid:durableId="209923205">
    <w:abstractNumId w:val="19"/>
  </w:num>
  <w:num w:numId="16" w16cid:durableId="1514343840">
    <w:abstractNumId w:val="11"/>
  </w:num>
  <w:num w:numId="17" w16cid:durableId="174073387">
    <w:abstractNumId w:val="30"/>
  </w:num>
  <w:num w:numId="18" w16cid:durableId="1230337846">
    <w:abstractNumId w:val="12"/>
  </w:num>
  <w:num w:numId="19" w16cid:durableId="1905992936">
    <w:abstractNumId w:val="32"/>
  </w:num>
  <w:num w:numId="20" w16cid:durableId="1791897490">
    <w:abstractNumId w:val="20"/>
  </w:num>
  <w:num w:numId="21" w16cid:durableId="1628584602">
    <w:abstractNumId w:val="24"/>
  </w:num>
  <w:num w:numId="22" w16cid:durableId="340091389">
    <w:abstractNumId w:val="15"/>
  </w:num>
  <w:num w:numId="23" w16cid:durableId="1673754771">
    <w:abstractNumId w:val="33"/>
  </w:num>
  <w:num w:numId="24" w16cid:durableId="552616662">
    <w:abstractNumId w:val="9"/>
  </w:num>
  <w:num w:numId="25" w16cid:durableId="2071684608">
    <w:abstractNumId w:val="8"/>
  </w:num>
  <w:num w:numId="26" w16cid:durableId="959067576">
    <w:abstractNumId w:val="7"/>
  </w:num>
  <w:num w:numId="27" w16cid:durableId="1853177055">
    <w:abstractNumId w:val="6"/>
  </w:num>
  <w:num w:numId="28" w16cid:durableId="921336723">
    <w:abstractNumId w:val="5"/>
  </w:num>
  <w:num w:numId="29" w16cid:durableId="1506357946">
    <w:abstractNumId w:val="4"/>
  </w:num>
  <w:num w:numId="30" w16cid:durableId="938874719">
    <w:abstractNumId w:val="3"/>
  </w:num>
  <w:num w:numId="31" w16cid:durableId="806626285">
    <w:abstractNumId w:val="2"/>
  </w:num>
  <w:num w:numId="32" w16cid:durableId="509487827">
    <w:abstractNumId w:val="1"/>
  </w:num>
  <w:num w:numId="33" w16cid:durableId="1695690431">
    <w:abstractNumId w:val="0"/>
  </w:num>
  <w:num w:numId="34" w16cid:durableId="969629607">
    <w:abstractNumId w:val="22"/>
  </w:num>
  <w:num w:numId="35" w16cid:durableId="487012982">
    <w:abstractNumId w:val="17"/>
  </w:num>
  <w:num w:numId="36" w16cid:durableId="692347717">
    <w:abstractNumId w:val="14"/>
  </w:num>
  <w:num w:numId="37" w16cid:durableId="79377129">
    <w:abstractNumId w:val="37"/>
  </w:num>
  <w:num w:numId="38" w16cid:durableId="161089478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292"/>
    <w:rsid w:val="000117D4"/>
    <w:rsid w:val="00045F8B"/>
    <w:rsid w:val="00046D2B"/>
    <w:rsid w:val="00056263"/>
    <w:rsid w:val="00064D8A"/>
    <w:rsid w:val="00064F82"/>
    <w:rsid w:val="00066510"/>
    <w:rsid w:val="00077523"/>
    <w:rsid w:val="00097C1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B17F2"/>
    <w:rsid w:val="005B7FB0"/>
    <w:rsid w:val="005C35A5"/>
    <w:rsid w:val="005C577C"/>
    <w:rsid w:val="005D0621"/>
    <w:rsid w:val="005D1E27"/>
    <w:rsid w:val="005E022E"/>
    <w:rsid w:val="005E5215"/>
    <w:rsid w:val="005F7F7E"/>
    <w:rsid w:val="00614693"/>
    <w:rsid w:val="00623C2F"/>
    <w:rsid w:val="00632A88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708A"/>
    <w:rsid w:val="006E14C1"/>
    <w:rsid w:val="006F0292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1201"/>
    <w:rsid w:val="007C5C23"/>
    <w:rsid w:val="007E2A26"/>
    <w:rsid w:val="007F2348"/>
    <w:rsid w:val="00803F07"/>
    <w:rsid w:val="0080749A"/>
    <w:rsid w:val="00821AAF"/>
    <w:rsid w:val="00821FB8"/>
    <w:rsid w:val="00822ACD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179F"/>
    <w:rsid w:val="00A13765"/>
    <w:rsid w:val="00A21B12"/>
    <w:rsid w:val="00A23F80"/>
    <w:rsid w:val="00A44635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500CA"/>
    <w:rsid w:val="00B558E1"/>
    <w:rsid w:val="00B7799F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683E"/>
    <w:rsid w:val="00D90A28"/>
    <w:rsid w:val="00DA413F"/>
    <w:rsid w:val="00DA4584"/>
    <w:rsid w:val="00DA614B"/>
    <w:rsid w:val="00DC3060"/>
    <w:rsid w:val="00DD2FED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5BC9"/>
    <w:rsid w:val="00FA026E"/>
    <w:rsid w:val="00FA624C"/>
    <w:rsid w:val="00FD0FAC"/>
    <w:rsid w:val="00FD1DFA"/>
    <w:rsid w:val="00FD4966"/>
    <w:rsid w:val="00FE57D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AF9062"/>
  <w15:docId w15:val="{EFCFD7FA-9BC0-4E99-875E-7195712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kennedy@oxford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2" ma:contentTypeDescription="Create a new document." ma:contentTypeScope="" ma:versionID="568d0cbb6f0b2b616a19d727d9970e2f">
  <xsd:schema xmlns:xsd="http://www.w3.org/2001/XMLSchema" xmlns:xs="http://www.w3.org/2001/XMLSchema" xmlns:p="http://schemas.microsoft.com/office/2006/metadata/properties" xmlns:ns2="fdb8f1d2-729e-4e17-b922-d1876d49c6d9" xmlns:ns3="ca0c6f25-960b-4ad0-86ba-4742c0ecca1e" targetNamespace="http://schemas.microsoft.com/office/2006/metadata/properties" ma:root="true" ma:fieldsID="0e0059c2c4a6cf6912f09ee4e3ca476b" ns2:_="" ns3:_="">
    <xsd:import namespace="fdb8f1d2-729e-4e17-b922-d1876d49c6d9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A6B5D-C5FD-4658-A568-2D840A42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D755B-781C-49F0-925A-074BA5E5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ED3A9-6BDF-4C87-8DB3-375CA62C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COURTNEY Alice</cp:lastModifiedBy>
  <cp:revision>3</cp:revision>
  <cp:lastPrinted>2015-07-03T12:50:00Z</cp:lastPrinted>
  <dcterms:created xsi:type="dcterms:W3CDTF">2019-10-22T08:34:00Z</dcterms:created>
  <dcterms:modified xsi:type="dcterms:W3CDTF">2024-07-02T09:00:00Z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